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B" w:rsidRDefault="00BA0BEB" w:rsidP="00253E71">
      <w:pPr>
        <w:pStyle w:val="NormalnyWeb"/>
      </w:pPr>
    </w:p>
    <w:p w:rsidR="00BA0BEB" w:rsidRDefault="00BA0BEB" w:rsidP="00BA0BEB">
      <w:pPr>
        <w:pStyle w:val="Akapitzlist"/>
        <w:tabs>
          <w:tab w:val="left" w:pos="340"/>
        </w:tabs>
        <w:jc w:val="both"/>
      </w:pPr>
      <w:r>
        <w:t xml:space="preserve">1) w projekcie wykonawczym uściśla się kwestię wymagalności dokumentacji warsztatowej następująco : </w:t>
      </w:r>
    </w:p>
    <w:p w:rsidR="00BA0BEB" w:rsidRDefault="00BA0BEB" w:rsidP="00BA0BEB">
      <w:pPr>
        <w:pStyle w:val="Akapitzlist"/>
        <w:tabs>
          <w:tab w:val="left" w:pos="340"/>
        </w:tabs>
        <w:jc w:val="both"/>
      </w:pPr>
      <w:r>
        <w:t xml:space="preserve">„W przypadku zmiany technologii wykonania elementów wyposażenia Inwestor, Projektant ma prawo zażądać a Wykonawca obowiązek przedstawić do akceptacji dokumentację warsztatową wykonania elementów wyposażenia wnętrz mogących zaważyć na estetyce lub funkcjonalności zaproponowanych przez projektanta rozwiązań. Sprawa dotyczy zagadnień związanych np. z zabudową meblową, podłogą, pliki produkcyjne, etc. (jeżeli dotyczy to skomplikowanych / autorskich rozwiązań / zamienników).” </w:t>
      </w:r>
    </w:p>
    <w:p w:rsidR="00BA0BEB" w:rsidRDefault="00BA0BEB" w:rsidP="00BA0BEB">
      <w:pPr>
        <w:pStyle w:val="Akapitzlist"/>
        <w:tabs>
          <w:tab w:val="left" w:pos="340"/>
        </w:tabs>
        <w:jc w:val="both"/>
      </w:pPr>
    </w:p>
    <w:p w:rsidR="00BA0BEB" w:rsidRDefault="00BA0BEB" w:rsidP="00BA0BEB">
      <w:pPr>
        <w:pStyle w:val="Akapitzlist"/>
        <w:tabs>
          <w:tab w:val="left" w:pos="340"/>
        </w:tabs>
        <w:jc w:val="both"/>
      </w:pPr>
      <w:r>
        <w:t>2) w opisie projektu architektonicznego punkt 2 e otrzymuje brzmienie:</w:t>
      </w:r>
    </w:p>
    <w:p w:rsidR="00BA0BEB" w:rsidRDefault="00BA0BEB" w:rsidP="00BA0BEB">
      <w:pPr>
        <w:numPr>
          <w:ilvl w:val="0"/>
          <w:numId w:val="1"/>
        </w:numPr>
        <w:tabs>
          <w:tab w:val="left" w:pos="1134"/>
        </w:tabs>
        <w:suppressAutoHyphens/>
        <w:ind w:left="1134" w:hanging="425"/>
        <w:jc w:val="both"/>
        <w:rPr>
          <w:rFonts w:eastAsia="Calibri" w:cs="Arial"/>
        </w:rPr>
      </w:pPr>
      <w:r>
        <w:t>„</w:t>
      </w:r>
      <w:r>
        <w:rPr>
          <w:rFonts w:eastAsia="Calibri" w:cs="Arial"/>
        </w:rPr>
        <w:t xml:space="preserve">Dla materiałów i systemów, które zostały opisane za pomocą parametrów i wskaźników (nie podano konkretnych producentów lub rozwiązań), opisane w specyfikacji właściwości należy traktować jako minimalne, podane rozdzielnie dla każdego </w:t>
      </w:r>
      <w:r w:rsidR="0066643D">
        <w:rPr>
          <w:rFonts w:eastAsia="Calibri" w:cs="Arial"/>
        </w:rPr>
        <w:br/>
      </w:r>
      <w:r>
        <w:rPr>
          <w:rFonts w:eastAsia="Calibri" w:cs="Arial"/>
        </w:rPr>
        <w:t>z elementów. Z uwagi na fakt dopuszczenia możliwości różnych propozycji zamiennych, wymaga się od Wykonawcy  weryfikacji i traktowania wszystkich rozwiązań jako powiązanych ze sobą i tworzących docelowy obiekt budowlany. Dlatego wymaga się od Wykonawcy  skompletowania dokumentów i obliczeń potwierdzających, że dobrane rozwiązania, materiały i połączenia różnych technologii i prac różnych branż spełnią wymagania podstawowe, określone w prawie budowlanym, jak: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eastAsia="Calibri" w:cs="Arial"/>
        </w:rPr>
      </w:pPr>
      <w:r>
        <w:rPr>
          <w:rFonts w:eastAsia="Calibri" w:cs="Arial"/>
        </w:rPr>
        <w:t>Bezpieczeństwo konstrukcji,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eastAsia="Calibri" w:cs="Arial"/>
        </w:rPr>
      </w:pPr>
      <w:r>
        <w:rPr>
          <w:rFonts w:eastAsia="Calibri" w:cs="Arial"/>
        </w:rPr>
        <w:t>Bezpieczeństwo pożarowe,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eastAsia="Calibri" w:cs="Arial"/>
        </w:rPr>
      </w:pPr>
      <w:r>
        <w:rPr>
          <w:rFonts w:eastAsia="Calibri" w:cs="Arial"/>
        </w:rPr>
        <w:t>Bezpieczeństwo użytkowania,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eastAsia="Calibri" w:cs="Arial"/>
        </w:rPr>
      </w:pPr>
      <w:r>
        <w:rPr>
          <w:rFonts w:eastAsia="Calibri" w:cs="Arial"/>
        </w:rPr>
        <w:t>Odpowiednie warunki higieniczne i zdrowotne oraz ochrony środowiska,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eastAsia="Calibri" w:cs="Arial"/>
        </w:rPr>
      </w:pPr>
      <w:r>
        <w:rPr>
          <w:rFonts w:eastAsia="Calibri" w:cs="Arial"/>
        </w:rPr>
        <w:t>Ochrony przed hałasem i drganiami,</w:t>
      </w:r>
    </w:p>
    <w:p w:rsidR="00BA0BEB" w:rsidRDefault="00BA0BEB" w:rsidP="00BA0BEB">
      <w:pPr>
        <w:numPr>
          <w:ilvl w:val="1"/>
          <w:numId w:val="1"/>
        </w:numPr>
        <w:suppressAutoHyphens/>
        <w:jc w:val="both"/>
        <w:rPr>
          <w:rFonts w:cs="Arial"/>
        </w:rPr>
      </w:pPr>
      <w:r>
        <w:rPr>
          <w:rFonts w:eastAsia="Calibri" w:cs="Arial"/>
        </w:rPr>
        <w:t>Oszczędności energii i odpowiedniej izolacyjności cieplnej przegród.”</w:t>
      </w:r>
    </w:p>
    <w:p w:rsidR="00BA0BEB" w:rsidRDefault="00BA0BEB" w:rsidP="00BA0BEB">
      <w:pPr>
        <w:suppressAutoHyphens/>
        <w:ind w:left="2160"/>
        <w:jc w:val="both"/>
        <w:rPr>
          <w:rFonts w:eastAsia="Calibri" w:cs="Arial"/>
        </w:rPr>
      </w:pPr>
    </w:p>
    <w:p w:rsidR="00BA0BEB" w:rsidRDefault="00007429" w:rsidP="00BA0BEB">
      <w:pPr>
        <w:pStyle w:val="Akapitzlist"/>
        <w:tabs>
          <w:tab w:val="left" w:pos="340"/>
        </w:tabs>
        <w:jc w:val="both"/>
      </w:pPr>
      <w:r>
        <w:t>3) w</w:t>
      </w:r>
      <w:r w:rsidR="00BA0BEB">
        <w:t xml:space="preserve"> opisie projektu architektonicznego punkt 4 Procedura akceptacji kolorystyki i próbek podpunkt b otrzymuje brzmienie:</w:t>
      </w:r>
    </w:p>
    <w:p w:rsidR="00BA0BEB" w:rsidRDefault="00BA0BEB" w:rsidP="00BA0BEB">
      <w:pPr>
        <w:numPr>
          <w:ilvl w:val="0"/>
          <w:numId w:val="2"/>
        </w:numPr>
        <w:tabs>
          <w:tab w:val="left" w:pos="1134"/>
        </w:tabs>
        <w:suppressAutoHyphens/>
        <w:ind w:left="1134" w:hanging="425"/>
        <w:jc w:val="both"/>
      </w:pPr>
      <w:r>
        <w:rPr>
          <w:rFonts w:cs="Arial"/>
        </w:rPr>
        <w:t xml:space="preserve">„Po akceptacji próbki bazowej należy dostarczyć na żądanie przenośne próbki elementów, produktów, rozwiązań wybranych lub wyznaczonych do rozważenia technologii – np. szkła, okładzin, systemów zamocowań, obróbek, tynków, </w:t>
      </w:r>
      <w:r>
        <w:t>charakterystycznych elementów np. stałej zabudowy jak styki, łączenia, próbki kolorystyczne, faktury, fragmenty systemów producenckich etc, przedstawiając Inwestorowi i Projektantowi do akceptacji”.</w:t>
      </w:r>
    </w:p>
    <w:p w:rsidR="00BA0BEB" w:rsidRDefault="00BA0BEB" w:rsidP="00BA0BEB">
      <w:pPr>
        <w:ind w:left="0"/>
        <w:jc w:val="both"/>
      </w:pPr>
    </w:p>
    <w:p w:rsidR="00BA0BEB" w:rsidRDefault="00BA0BEB" w:rsidP="00BA0BEB">
      <w:pPr>
        <w:pStyle w:val="Akapitzlist"/>
        <w:tabs>
          <w:tab w:val="left" w:pos="340"/>
        </w:tabs>
        <w:jc w:val="both"/>
      </w:pPr>
      <w:r>
        <w:t>4) w projekcie wykonawczym, przedmiarze robót – instalacje ogrzewania:</w:t>
      </w:r>
    </w:p>
    <w:p w:rsidR="00BA0BEB" w:rsidRDefault="00BA0BEB" w:rsidP="00BA0BEB">
      <w:pPr>
        <w:pStyle w:val="Akapitzlist"/>
        <w:tabs>
          <w:tab w:val="left" w:pos="340"/>
        </w:tabs>
        <w:jc w:val="both"/>
      </w:pPr>
      <w:r>
        <w:t>wykreśla się z projektu i przedmiaru robót grzejnik V33/400/1,2 (pozycja w projekcie W.06.06, pozycja w przedmiarze 47.d.1.6) który został zastąpiony grzejnikiem F2C 24/11/100 (pozycja w projekcie W.06.07, pozycja w przedmiarze 48.d.1.6).</w:t>
      </w:r>
    </w:p>
    <w:p w:rsidR="00BA0BEB" w:rsidRDefault="00BA0BEB" w:rsidP="00BA0BEB">
      <w:pPr>
        <w:pStyle w:val="Akapitzlist"/>
        <w:tabs>
          <w:tab w:val="left" w:pos="340"/>
        </w:tabs>
        <w:jc w:val="both"/>
      </w:pPr>
    </w:p>
    <w:p w:rsidR="00BA0BEB" w:rsidRDefault="00BA0BEB" w:rsidP="00BA0BEB">
      <w:pPr>
        <w:pStyle w:val="Akapitzlist"/>
        <w:tabs>
          <w:tab w:val="left" w:pos="340"/>
        </w:tabs>
        <w:jc w:val="both"/>
      </w:pPr>
    </w:p>
    <w:sectPr w:rsidR="00BA0BEB" w:rsidSect="00CA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2F1486E0"/>
    <w:name w:val="WW8Num19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>
    <w:nsid w:val="2FDE2320"/>
    <w:multiLevelType w:val="multilevel"/>
    <w:tmpl w:val="84E85DEA"/>
    <w:name w:val="WW8Num193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E71"/>
    <w:rsid w:val="00007429"/>
    <w:rsid w:val="00023F8C"/>
    <w:rsid w:val="00253E71"/>
    <w:rsid w:val="00367604"/>
    <w:rsid w:val="003733DC"/>
    <w:rsid w:val="005F2EFC"/>
    <w:rsid w:val="0066643D"/>
    <w:rsid w:val="00826238"/>
    <w:rsid w:val="00A11550"/>
    <w:rsid w:val="00A61F7C"/>
    <w:rsid w:val="00AC72A5"/>
    <w:rsid w:val="00BA0BEB"/>
    <w:rsid w:val="00CA7194"/>
    <w:rsid w:val="00DA162A"/>
    <w:rsid w:val="00F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E71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rwwag</dc:creator>
  <cp:keywords/>
  <dc:description/>
  <cp:lastModifiedBy>rwwag</cp:lastModifiedBy>
  <cp:revision>11</cp:revision>
  <dcterms:created xsi:type="dcterms:W3CDTF">2015-02-13T10:37:00Z</dcterms:created>
  <dcterms:modified xsi:type="dcterms:W3CDTF">2015-03-04T09:00:00Z</dcterms:modified>
</cp:coreProperties>
</file>